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14:paraId="2A413867" w14:textId="77777777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A6EDDD7" w14:textId="77777777"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  <w:lang w:val="uk-UA" w:eastAsia="uk-UA"/>
              </w:rPr>
              <w:drawing>
                <wp:inline distT="0" distB="0" distL="0" distR="0" wp14:anchorId="3F8C982C" wp14:editId="0FB6A8C7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14:paraId="430AEF49" w14:textId="77777777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231DA335" w14:textId="77777777"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14:paraId="02E3172A" w14:textId="77777777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58AA4DB" w14:textId="77777777"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14:paraId="362BCE1E" w14:textId="77777777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CFC632C" w14:textId="77777777"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14:paraId="597582AD" w14:textId="77777777"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14:paraId="0C2302B7" w14:textId="77777777"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14:paraId="6B900630" w14:textId="77777777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498F321C" w14:textId="77777777"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14:paraId="15823484" w14:textId="66B8C85E" w:rsidR="000C3ACF" w:rsidRDefault="000B0C3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тел. </w:t>
            </w:r>
            <w:r w:rsidR="007951E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380671788112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14:paraId="3F256559" w14:textId="77777777"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14:paraId="18ADE66B" w14:textId="77777777"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14:paraId="379EEFA7" w14:textId="77777777" w:rsidTr="00260C6F">
              <w:tc>
                <w:tcPr>
                  <w:tcW w:w="4278" w:type="dxa"/>
                </w:tcPr>
                <w:p w14:paraId="626D5D9A" w14:textId="68768620" w:rsidR="000C3ACF" w:rsidRDefault="00563096" w:rsidP="006D30A2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</w:t>
                  </w:r>
                  <w:r w:rsidR="00B369C0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6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.0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3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 w:rsidR="00B369C0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213</w:t>
                  </w:r>
                </w:p>
              </w:tc>
              <w:tc>
                <w:tcPr>
                  <w:tcW w:w="5149" w:type="dxa"/>
                </w:tcPr>
                <w:p w14:paraId="18ACC8C5" w14:textId="77777777"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14:paraId="675CBB73" w14:textId="77777777"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6900E8EC" w14:textId="63552553" w:rsidR="00920731" w:rsidRPr="00920731" w:rsidRDefault="00DA1E10" w:rsidP="00920731">
      <w:pPr>
        <w:pStyle w:val="a6"/>
        <w:ind w:left="4248"/>
        <w:rPr>
          <w:sz w:val="28"/>
          <w:szCs w:val="28"/>
        </w:rPr>
      </w:pPr>
      <w:r w:rsidRPr="00F67524">
        <w:rPr>
          <w:sz w:val="28"/>
          <w:szCs w:val="28"/>
        </w:rPr>
        <w:t>Керівникам органів управління освітою</w:t>
      </w:r>
    </w:p>
    <w:p w14:paraId="62F49693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територіальних громад</w:t>
      </w:r>
    </w:p>
    <w:p w14:paraId="5C4182C2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Керівникам центрів професійного розвитку</w:t>
      </w:r>
    </w:p>
    <w:p w14:paraId="584221E5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педагогічних працівників</w:t>
      </w:r>
    </w:p>
    <w:p w14:paraId="7C1B2AB9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Керівникам закладів професійної</w:t>
      </w:r>
    </w:p>
    <w:p w14:paraId="394307EC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(професійно-технічної) освіти</w:t>
      </w:r>
    </w:p>
    <w:p w14:paraId="5B93C75E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Керівникам закладів фахової передвищої</w:t>
      </w:r>
    </w:p>
    <w:p w14:paraId="4F544ACC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освіти</w:t>
      </w:r>
    </w:p>
    <w:p w14:paraId="6FC6524B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Керівникам закладів ЗСО обласного</w:t>
      </w:r>
    </w:p>
    <w:p w14:paraId="3E9C1953" w14:textId="264FED73" w:rsid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підпорядкування</w:t>
      </w:r>
    </w:p>
    <w:p w14:paraId="747C9A34" w14:textId="77777777" w:rsidR="00563096" w:rsidRDefault="00563096" w:rsidP="000F7655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14:paraId="6A281097" w14:textId="6E705C21" w:rsidR="000F7655" w:rsidRPr="000F7655" w:rsidRDefault="007252C2" w:rsidP="000F7655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0F7655">
        <w:rPr>
          <w:sz w:val="28"/>
          <w:szCs w:val="28"/>
          <w:lang w:val="uk-UA"/>
        </w:rPr>
        <w:t>Про</w:t>
      </w:r>
      <w:r w:rsidR="00AC325D">
        <w:rPr>
          <w:sz w:val="28"/>
          <w:szCs w:val="28"/>
          <w:lang w:val="uk-UA"/>
        </w:rPr>
        <w:t xml:space="preserve"> Порядок прийому до закладів вищої освіти </w:t>
      </w:r>
      <w:r w:rsidR="006D30A2">
        <w:rPr>
          <w:sz w:val="28"/>
          <w:szCs w:val="28"/>
          <w:lang w:val="uk-UA"/>
        </w:rPr>
        <w:t xml:space="preserve"> </w:t>
      </w:r>
    </w:p>
    <w:p w14:paraId="1E115629" w14:textId="77777777" w:rsidR="007252C2" w:rsidRPr="00B34245" w:rsidRDefault="007252C2" w:rsidP="00B141A0">
      <w:pPr>
        <w:pStyle w:val="a6"/>
        <w:rPr>
          <w:sz w:val="28"/>
          <w:szCs w:val="28"/>
          <w:lang w:val="uk-UA"/>
        </w:rPr>
      </w:pPr>
    </w:p>
    <w:p w14:paraId="38B8ED14" w14:textId="6935A22D" w:rsidR="00AC325D" w:rsidRDefault="00F56DF8" w:rsidP="00B141A0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37E5">
        <w:rPr>
          <w:sz w:val="28"/>
          <w:szCs w:val="28"/>
          <w:lang w:val="uk-UA"/>
        </w:rPr>
        <w:t xml:space="preserve">На </w:t>
      </w:r>
      <w:r w:rsidRPr="0093286C">
        <w:rPr>
          <w:sz w:val="28"/>
          <w:szCs w:val="28"/>
          <w:lang w:val="uk-UA"/>
        </w:rPr>
        <w:t>виконання</w:t>
      </w:r>
      <w:r w:rsidR="003626CA">
        <w:rPr>
          <w:sz w:val="28"/>
          <w:szCs w:val="28"/>
          <w:lang w:val="uk-UA"/>
        </w:rPr>
        <w:t xml:space="preserve"> плану роботи</w:t>
      </w:r>
      <w:r w:rsidR="00AC325D">
        <w:rPr>
          <w:sz w:val="28"/>
          <w:szCs w:val="28"/>
          <w:lang w:val="uk-UA"/>
        </w:rPr>
        <w:t xml:space="preserve"> </w:t>
      </w:r>
      <w:r w:rsidR="003626CA" w:rsidRPr="00EB1245">
        <w:rPr>
          <w:sz w:val="28"/>
          <w:szCs w:val="28"/>
          <w:lang w:val="uk-UA"/>
        </w:rPr>
        <w:t>інформуємо</w:t>
      </w:r>
      <w:r w:rsidR="00CF635B">
        <w:rPr>
          <w:sz w:val="28"/>
          <w:szCs w:val="28"/>
          <w:lang w:val="uk-UA"/>
        </w:rPr>
        <w:t xml:space="preserve"> про те, що </w:t>
      </w:r>
      <w:r w:rsidR="00AC325D">
        <w:rPr>
          <w:sz w:val="28"/>
          <w:szCs w:val="28"/>
          <w:lang w:val="uk-UA"/>
        </w:rPr>
        <w:t>Міністерство освіти і науки України оприлюднило Порядок прийому на навчання для здобуття вищої освіти в 2025 році. Цей документ розміщено на сайті Українського центру оцінювання якості освіти</w:t>
      </w:r>
      <w:r w:rsidR="00DD5028">
        <w:rPr>
          <w:sz w:val="28"/>
          <w:szCs w:val="28"/>
          <w:lang w:val="uk-UA"/>
        </w:rPr>
        <w:t xml:space="preserve">. </w:t>
      </w:r>
    </w:p>
    <w:p w14:paraId="5270E5E7" w14:textId="5F7D16DA" w:rsidR="00BC6A77" w:rsidRPr="00F60C22" w:rsidRDefault="00907787" w:rsidP="00B141A0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60C22">
        <w:rPr>
          <w:sz w:val="28"/>
          <w:szCs w:val="28"/>
          <w:lang w:val="uk-UA"/>
        </w:rPr>
        <w:t>Просимо доручити особам, які в органах управління освітою територіальних громад, закладах професійної (професійно-технічної), фахової передвищої освіти, загальної середньої освіти обласного підпорядкування відповідають за підготовку до проведення ЗНО</w:t>
      </w:r>
      <w:r w:rsidR="00BC6A77" w:rsidRPr="00F60C22">
        <w:rPr>
          <w:sz w:val="28"/>
          <w:szCs w:val="28"/>
          <w:lang w:val="uk-UA"/>
        </w:rPr>
        <w:t xml:space="preserve"> / НМТ</w:t>
      </w:r>
      <w:r w:rsidRPr="00F60C22">
        <w:rPr>
          <w:sz w:val="28"/>
          <w:szCs w:val="28"/>
          <w:lang w:val="uk-UA"/>
        </w:rPr>
        <w:t xml:space="preserve">, поширити </w:t>
      </w:r>
      <w:r w:rsidR="000A4B9A" w:rsidRPr="00F60C22">
        <w:rPr>
          <w:sz w:val="28"/>
          <w:szCs w:val="28"/>
          <w:lang w:val="uk-UA"/>
        </w:rPr>
        <w:t>цю</w:t>
      </w:r>
      <w:r w:rsidRPr="00F60C22">
        <w:rPr>
          <w:sz w:val="28"/>
          <w:szCs w:val="28"/>
          <w:lang w:val="uk-UA"/>
        </w:rPr>
        <w:t xml:space="preserve"> інформацію серед </w:t>
      </w:r>
      <w:r w:rsidR="00F60C22" w:rsidRPr="00F60C22">
        <w:rPr>
          <w:sz w:val="28"/>
          <w:szCs w:val="28"/>
          <w:lang w:val="uk-UA"/>
        </w:rPr>
        <w:t xml:space="preserve">здобувачів освіти </w:t>
      </w:r>
      <w:r w:rsidRPr="00F60C22">
        <w:rPr>
          <w:sz w:val="28"/>
          <w:szCs w:val="28"/>
          <w:lang w:val="uk-UA"/>
        </w:rPr>
        <w:t>та вчителів</w:t>
      </w:r>
      <w:r w:rsidR="00F60C22" w:rsidRPr="00F60C22">
        <w:rPr>
          <w:sz w:val="28"/>
          <w:szCs w:val="28"/>
          <w:lang w:val="uk-UA"/>
        </w:rPr>
        <w:t>/виклад</w:t>
      </w:r>
      <w:r w:rsidRPr="00F60C22">
        <w:rPr>
          <w:sz w:val="28"/>
          <w:szCs w:val="28"/>
          <w:lang w:val="uk-UA"/>
        </w:rPr>
        <w:t>ачів</w:t>
      </w:r>
      <w:r w:rsidR="00BC6A77" w:rsidRPr="00F60C22">
        <w:rPr>
          <w:sz w:val="28"/>
          <w:szCs w:val="28"/>
          <w:lang w:val="uk-UA"/>
        </w:rPr>
        <w:t>.</w:t>
      </w:r>
    </w:p>
    <w:p w14:paraId="5030B019" w14:textId="68104C33" w:rsidR="006E1BC2" w:rsidRPr="00F60C22" w:rsidRDefault="006E1BC2" w:rsidP="006E1BC2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60C22">
        <w:rPr>
          <w:sz w:val="28"/>
          <w:szCs w:val="28"/>
          <w:lang w:val="uk-UA"/>
        </w:rPr>
        <w:t xml:space="preserve">Додаток: Інформація для випускників </w:t>
      </w:r>
      <w:r w:rsidR="009F0200" w:rsidRPr="00F60C22">
        <w:rPr>
          <w:sz w:val="28"/>
          <w:szCs w:val="28"/>
          <w:lang w:val="uk-UA"/>
        </w:rPr>
        <w:t xml:space="preserve">2025 року на </w:t>
      </w:r>
      <w:r w:rsidR="003D2F79">
        <w:rPr>
          <w:sz w:val="28"/>
          <w:szCs w:val="28"/>
          <w:lang w:val="uk-UA"/>
        </w:rPr>
        <w:t>1</w:t>
      </w:r>
      <w:r w:rsidRPr="00F60C22">
        <w:rPr>
          <w:sz w:val="28"/>
          <w:szCs w:val="28"/>
          <w:lang w:val="uk-UA"/>
        </w:rPr>
        <w:t xml:space="preserve"> арк. в 1 прим. </w:t>
      </w:r>
    </w:p>
    <w:p w14:paraId="76E09F79" w14:textId="77777777" w:rsidR="00BC6A77" w:rsidRDefault="00BC6A77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252D07B" w14:textId="77777777"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14:paraId="719EAF53" w14:textId="77777777" w:rsidTr="00662E03">
        <w:tc>
          <w:tcPr>
            <w:tcW w:w="7230" w:type="dxa"/>
          </w:tcPr>
          <w:p w14:paraId="5E14CB55" w14:textId="77777777" w:rsidR="00104D7E" w:rsidRDefault="007D51BA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Дир</w:t>
            </w:r>
            <w:r w:rsidR="00104D7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14:paraId="5EC9751C" w14:textId="77777777"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14:paraId="6FB90287" w14:textId="77777777" w:rsidR="009F0200" w:rsidRDefault="009F0200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27A2ED28" w14:textId="6E4CD79E" w:rsidR="002E027F" w:rsidRDefault="002E027F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78D6C7ED" w14:textId="62C0CA0E" w:rsidR="009B7B96" w:rsidRDefault="009B7B96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3070D19A" w14:textId="77777777" w:rsidR="00662E03" w:rsidRDefault="00887A3C" w:rsidP="00662E03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І</w:t>
      </w:r>
      <w:r w:rsidR="0093286C">
        <w:rPr>
          <w:rFonts w:ascii="Times New Roman CYR" w:hAnsi="Times New Roman CYR" w:cs="Times New Roman CYR"/>
          <w:color w:val="000000"/>
          <w:lang w:val="uk-UA"/>
        </w:rPr>
        <w:t>ванна ШИШКО</w:t>
      </w:r>
    </w:p>
    <w:p w14:paraId="7325D204" w14:textId="1663084A" w:rsidR="00B03FB4" w:rsidRDefault="00BC7B21" w:rsidP="00B141A0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+380687984916</w:t>
      </w:r>
    </w:p>
    <w:p w14:paraId="0CF6D1D3" w14:textId="77777777" w:rsidR="0079294D" w:rsidRPr="0079294D" w:rsidRDefault="002E027F" w:rsidP="007929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79294D">
        <w:rPr>
          <w:sz w:val="28"/>
          <w:szCs w:val="28"/>
          <w:lang w:val="uk-UA"/>
        </w:rPr>
        <w:t xml:space="preserve">                                                                                Додаток</w:t>
      </w:r>
      <w:r w:rsidR="0079294D" w:rsidRPr="0079294D">
        <w:rPr>
          <w:sz w:val="28"/>
          <w:szCs w:val="28"/>
          <w:lang w:val="uk-UA"/>
        </w:rPr>
        <w:t xml:space="preserve"> до листа РОІППО</w:t>
      </w:r>
    </w:p>
    <w:p w14:paraId="73DC548E" w14:textId="08574C68" w:rsidR="0079294D" w:rsidRDefault="0079294D" w:rsidP="007929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79294D">
        <w:rPr>
          <w:sz w:val="28"/>
          <w:szCs w:val="28"/>
          <w:lang w:val="uk-UA"/>
        </w:rPr>
        <w:t xml:space="preserve">від </w:t>
      </w:r>
      <w:r w:rsidR="002A391E">
        <w:rPr>
          <w:sz w:val="28"/>
          <w:szCs w:val="28"/>
          <w:lang w:val="uk-UA"/>
        </w:rPr>
        <w:t>0</w:t>
      </w:r>
      <w:r w:rsidR="00B369C0">
        <w:rPr>
          <w:sz w:val="28"/>
          <w:szCs w:val="28"/>
          <w:lang w:val="uk-UA"/>
        </w:rPr>
        <w:t>6</w:t>
      </w:r>
      <w:r w:rsidRPr="0079294D">
        <w:rPr>
          <w:sz w:val="28"/>
          <w:szCs w:val="28"/>
          <w:lang w:val="uk-UA"/>
        </w:rPr>
        <w:t>.0</w:t>
      </w:r>
      <w:r w:rsidR="002A391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2A391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01-12/</w:t>
      </w:r>
      <w:r w:rsidR="00B369C0">
        <w:rPr>
          <w:sz w:val="28"/>
          <w:szCs w:val="28"/>
          <w:lang w:val="uk-UA"/>
        </w:rPr>
        <w:t>213</w:t>
      </w:r>
    </w:p>
    <w:p w14:paraId="2B20CB08" w14:textId="77777777" w:rsidR="00BF44B2" w:rsidRDefault="00BF44B2" w:rsidP="0079294D">
      <w:pPr>
        <w:rPr>
          <w:sz w:val="28"/>
          <w:szCs w:val="28"/>
          <w:lang w:val="uk-UA"/>
        </w:rPr>
      </w:pPr>
    </w:p>
    <w:p w14:paraId="1A79E327" w14:textId="6A3B9522" w:rsidR="00BF44B2" w:rsidRPr="00BF44B2" w:rsidRDefault="00BF44B2" w:rsidP="00BF44B2">
      <w:pPr>
        <w:shd w:val="clear" w:color="auto" w:fill="FFFFFF"/>
        <w:spacing w:after="270"/>
        <w:jc w:val="center"/>
        <w:outlineLvl w:val="1"/>
        <w:rPr>
          <w:caps/>
          <w:color w:val="6D6E71"/>
          <w:sz w:val="28"/>
          <w:szCs w:val="28"/>
          <w:lang w:val="uk-UA" w:eastAsia="uk-UA"/>
        </w:rPr>
      </w:pPr>
      <w:r w:rsidRPr="00BF44B2">
        <w:rPr>
          <w:caps/>
          <w:color w:val="6D6E71"/>
          <w:sz w:val="28"/>
          <w:szCs w:val="28"/>
          <w:lang w:val="uk-UA" w:eastAsia="uk-UA"/>
        </w:rPr>
        <w:t>Вступна кампанія–2025: оприлюднено Порядок прийому до закладів вищої освіти</w:t>
      </w:r>
    </w:p>
    <w:p w14:paraId="510C1407" w14:textId="77777777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Міністерство освіти і науки України оприлюднило </w:t>
      </w:r>
      <w:hyperlink r:id="rId8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Порядок прийому на навчання для здобуття вищої освіти в 2025 році</w:t>
        </w:r>
      </w:hyperlink>
      <w:r w:rsidRPr="00BF44B2">
        <w:rPr>
          <w:sz w:val="28"/>
          <w:szCs w:val="28"/>
          <w:lang w:val="uk-UA" w:eastAsia="uk-UA"/>
        </w:rPr>
        <w:t> (далі – Порядок). Затверджений наказом від 10 лютого 2025 року № 168 документ визначає основні принципи та процедури, якими керуватимуться заклади вищої освіти під час організації прийому вступників.</w:t>
      </w:r>
    </w:p>
    <w:p w14:paraId="7821680E" w14:textId="77777777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Випробування для вступу на бакалаврські програми до закладів вищої освіти України у 2025 році буде проведено у форматі</w:t>
      </w:r>
      <w:r w:rsidRPr="00BF44B2">
        <w:rPr>
          <w:b/>
          <w:bCs/>
          <w:sz w:val="28"/>
          <w:szCs w:val="28"/>
          <w:lang w:val="uk-UA" w:eastAsia="uk-UA"/>
        </w:rPr>
        <w:t> національного мультипредметного тесту  (НМТ)</w:t>
      </w:r>
      <w:r w:rsidRPr="00BF44B2">
        <w:rPr>
          <w:sz w:val="28"/>
          <w:szCs w:val="28"/>
          <w:lang w:val="uk-UA" w:eastAsia="uk-UA"/>
        </w:rPr>
        <w:t>. У межах НМТ кожен учасник буде виконувати завдання </w:t>
      </w:r>
      <w:r w:rsidRPr="00BF44B2">
        <w:rPr>
          <w:b/>
          <w:bCs/>
          <w:sz w:val="28"/>
          <w:szCs w:val="28"/>
          <w:lang w:val="uk-UA" w:eastAsia="uk-UA"/>
        </w:rPr>
        <w:t>із чотирьох навчальних предметів, три з яких є обов’язковими </w:t>
      </w:r>
      <w:r w:rsidRPr="00BF44B2">
        <w:rPr>
          <w:i/>
          <w:iCs/>
          <w:sz w:val="28"/>
          <w:szCs w:val="28"/>
          <w:lang w:val="uk-UA" w:eastAsia="uk-UA"/>
        </w:rPr>
        <w:t>(українська мова, математика та історія України)</w:t>
      </w:r>
      <w:r w:rsidRPr="00BF44B2">
        <w:rPr>
          <w:b/>
          <w:bCs/>
          <w:sz w:val="28"/>
          <w:szCs w:val="28"/>
          <w:lang w:val="uk-UA" w:eastAsia="uk-UA"/>
        </w:rPr>
        <w:t>, а один — на вибір із переліку</w:t>
      </w:r>
      <w:r w:rsidRPr="00BF44B2">
        <w:rPr>
          <w:sz w:val="28"/>
          <w:szCs w:val="28"/>
          <w:lang w:val="uk-UA" w:eastAsia="uk-UA"/>
        </w:rPr>
        <w:t> </w:t>
      </w:r>
      <w:r w:rsidRPr="00BF44B2">
        <w:rPr>
          <w:i/>
          <w:iCs/>
          <w:sz w:val="28"/>
          <w:szCs w:val="28"/>
          <w:lang w:val="uk-UA" w:eastAsia="uk-UA"/>
        </w:rPr>
        <w:t>(українська література, іноземна мова (англійська, німецька, французька, іспанська), біологія, хімія, фізика, географія</w:t>
      </w:r>
      <w:r w:rsidRPr="00BF44B2">
        <w:rPr>
          <w:sz w:val="28"/>
          <w:szCs w:val="28"/>
          <w:lang w:val="uk-UA" w:eastAsia="uk-UA"/>
        </w:rPr>
        <w:t>). Предмет на вибір вступник вказуватиме під час реєстрації для участі в НМТ.</w:t>
      </w:r>
    </w:p>
    <w:p w14:paraId="34A1DFDE" w14:textId="77777777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Докладніше про те, якими будуть зміст і структура предметних тестів НМТ, як нараховуватимуть бали за виконання завдань різних форм, можна ознайомитися </w:t>
      </w:r>
      <w:hyperlink r:id="rId9" w:tgtFrame="_blank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за посиланням</w:t>
        </w:r>
      </w:hyperlink>
      <w:r w:rsidRPr="00BF44B2">
        <w:rPr>
          <w:sz w:val="28"/>
          <w:szCs w:val="28"/>
          <w:lang w:val="uk-UA" w:eastAsia="uk-UA"/>
        </w:rPr>
        <w:t>.</w:t>
      </w:r>
    </w:p>
    <w:p w14:paraId="41160803" w14:textId="77777777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Оскільки </w:t>
      </w:r>
      <w:hyperlink r:id="rId10" w:tgtFrame="_blank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характеристикою сертифікаційної роботи НМТ</w:t>
        </w:r>
      </w:hyperlink>
      <w:r w:rsidRPr="00BF44B2">
        <w:rPr>
          <w:sz w:val="28"/>
          <w:szCs w:val="28"/>
          <w:lang w:val="uk-UA" w:eastAsia="uk-UA"/>
        </w:rPr>
        <w:t> не передбачено  завдань відкритої форми з розгорнутою відповіддю, одразу після проходження тесту кожний учасник / кожна учасниця дізнається про кількість набраних тестових балів за виконання завдань із кожного предмета НМТ. У </w:t>
      </w:r>
      <w:hyperlink r:id="rId11" w:tgtFrame="_blank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визначені календарним планом строки</w:t>
        </w:r>
      </w:hyperlink>
      <w:r w:rsidRPr="00BF44B2">
        <w:rPr>
          <w:sz w:val="28"/>
          <w:szCs w:val="28"/>
          <w:lang w:val="uk-UA" w:eastAsia="uk-UA"/>
        </w:rPr>
        <w:t> ці бали буде переведено до шкали 100–200 і розміщено в його / її персональному кабінеті у вкладці «Результати». До речі, </w:t>
      </w:r>
      <w:r w:rsidRPr="00BF44B2">
        <w:rPr>
          <w:b/>
          <w:bCs/>
          <w:sz w:val="28"/>
          <w:szCs w:val="28"/>
          <w:lang w:val="uk-UA" w:eastAsia="uk-UA"/>
        </w:rPr>
        <w:t>таблиці переведення тестових балів до шкали 100–200</w:t>
      </w:r>
      <w:r w:rsidRPr="00BF44B2">
        <w:rPr>
          <w:sz w:val="28"/>
          <w:szCs w:val="28"/>
          <w:lang w:val="uk-UA" w:eastAsia="uk-UA"/>
        </w:rPr>
        <w:t> подано в </w:t>
      </w:r>
      <w:hyperlink r:id="rId12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додатку 5 до Порядку</w:t>
        </w:r>
      </w:hyperlink>
      <w:r w:rsidRPr="00BF44B2">
        <w:rPr>
          <w:sz w:val="28"/>
          <w:szCs w:val="28"/>
          <w:lang w:val="uk-UA" w:eastAsia="uk-UA"/>
        </w:rPr>
        <w:t>. Для отримання результату за шкалою 100–200 з кожного предмета НМТ потрібно набрати не менше 15 % від загальної кількості тестових балів.</w:t>
      </w:r>
    </w:p>
    <w:p w14:paraId="053E360F" w14:textId="77777777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Зауважте, що для вступу, крім результатів </w:t>
      </w:r>
      <w:r w:rsidRPr="00BF44B2">
        <w:rPr>
          <w:b/>
          <w:bCs/>
          <w:sz w:val="28"/>
          <w:szCs w:val="28"/>
          <w:lang w:val="uk-UA" w:eastAsia="uk-UA"/>
        </w:rPr>
        <w:t>НМТ 2025 року</w:t>
      </w:r>
      <w:r w:rsidRPr="00BF44B2">
        <w:rPr>
          <w:sz w:val="28"/>
          <w:szCs w:val="28"/>
          <w:lang w:val="uk-UA" w:eastAsia="uk-UA"/>
        </w:rPr>
        <w:t>, також можна буде використовувати </w:t>
      </w:r>
      <w:r w:rsidRPr="00BF44B2">
        <w:rPr>
          <w:b/>
          <w:bCs/>
          <w:sz w:val="28"/>
          <w:szCs w:val="28"/>
          <w:lang w:val="uk-UA" w:eastAsia="uk-UA"/>
        </w:rPr>
        <w:t>результати НМТ 2022–2024 років</w:t>
      </w:r>
      <w:r w:rsidRPr="00BF44B2">
        <w:rPr>
          <w:sz w:val="28"/>
          <w:szCs w:val="28"/>
          <w:lang w:val="uk-UA" w:eastAsia="uk-UA"/>
        </w:rPr>
        <w:t>. Інформацію про те, як ураховуватимуть ці результати та що братимуть до уваги під час розрахунку конкурсного бала, наведено в </w:t>
      </w:r>
      <w:hyperlink r:id="rId13" w:tgtFrame="_blank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розділі VII Порядку.</w:t>
        </w:r>
      </w:hyperlink>
    </w:p>
    <w:p w14:paraId="7A720619" w14:textId="5623BE65" w:rsidR="00BF44B2" w:rsidRPr="00BF44B2" w:rsidRDefault="00BF44B2" w:rsidP="00BF44B2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BF44B2">
        <w:rPr>
          <w:sz w:val="28"/>
          <w:szCs w:val="28"/>
          <w:lang w:val="uk-UA" w:eastAsia="uk-UA"/>
        </w:rPr>
        <w:t>Звертаємо увагу на те, що під час розрахування конкурсного бала для вступу на певну спеціальність до результатів з кожного предмета НМТ буде застосовано </w:t>
      </w:r>
      <w:r w:rsidRPr="00BF44B2">
        <w:rPr>
          <w:b/>
          <w:bCs/>
          <w:sz w:val="28"/>
          <w:szCs w:val="28"/>
          <w:lang w:val="uk-UA" w:eastAsia="uk-UA"/>
        </w:rPr>
        <w:t>ваговий коефіцієнт. </w:t>
      </w:r>
      <w:r w:rsidRPr="00BF44B2">
        <w:rPr>
          <w:sz w:val="28"/>
          <w:szCs w:val="28"/>
          <w:lang w:val="uk-UA" w:eastAsia="uk-UA"/>
        </w:rPr>
        <w:t>Таблицю з переліком вагових коефіцієнтів оцінок предметів НМТ наведено в </w:t>
      </w:r>
      <w:hyperlink r:id="rId14" w:tgtFrame="_blank" w:history="1">
        <w:r w:rsidRPr="00BF44B2">
          <w:rPr>
            <w:color w:val="337AB7"/>
            <w:sz w:val="28"/>
            <w:szCs w:val="28"/>
            <w:u w:val="single"/>
            <w:lang w:val="uk-UA" w:eastAsia="uk-UA"/>
          </w:rPr>
          <w:t>додатку 7 до Порядку</w:t>
        </w:r>
      </w:hyperlink>
      <w:r w:rsidRPr="00BF44B2">
        <w:rPr>
          <w:sz w:val="28"/>
          <w:szCs w:val="28"/>
          <w:lang w:val="uk-UA" w:eastAsia="uk-UA"/>
        </w:rPr>
        <w:t>.</w:t>
      </w:r>
    </w:p>
    <w:p w14:paraId="6AB8E081" w14:textId="77777777" w:rsidR="009B7B96" w:rsidRPr="00BF44B2" w:rsidRDefault="009B7B96" w:rsidP="009B7B96">
      <w:pPr>
        <w:shd w:val="clear" w:color="auto" w:fill="FFFFFF"/>
        <w:spacing w:after="270"/>
        <w:jc w:val="center"/>
        <w:outlineLvl w:val="1"/>
        <w:rPr>
          <w:caps/>
          <w:color w:val="6D6E71"/>
          <w:sz w:val="28"/>
          <w:szCs w:val="28"/>
          <w:lang w:val="uk-UA" w:eastAsia="uk-UA"/>
        </w:rPr>
      </w:pPr>
    </w:p>
    <w:sectPr w:rsidR="009B7B96" w:rsidRPr="00BF44B2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004F021F"/>
    <w:multiLevelType w:val="multilevel"/>
    <w:tmpl w:val="F9B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879B9"/>
    <w:multiLevelType w:val="multilevel"/>
    <w:tmpl w:val="FCFC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44930"/>
    <w:multiLevelType w:val="multilevel"/>
    <w:tmpl w:val="D7B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63F30"/>
    <w:multiLevelType w:val="multilevel"/>
    <w:tmpl w:val="A35A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E0030"/>
    <w:multiLevelType w:val="multilevel"/>
    <w:tmpl w:val="C5F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53819"/>
    <w:multiLevelType w:val="multilevel"/>
    <w:tmpl w:val="A5FE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32"/>
    <w:rsid w:val="00045830"/>
    <w:rsid w:val="00062931"/>
    <w:rsid w:val="00093681"/>
    <w:rsid w:val="000A40C9"/>
    <w:rsid w:val="000A4B9A"/>
    <w:rsid w:val="000B0C30"/>
    <w:rsid w:val="000C3ACF"/>
    <w:rsid w:val="000E01FB"/>
    <w:rsid w:val="000F7655"/>
    <w:rsid w:val="00104D7E"/>
    <w:rsid w:val="00131B04"/>
    <w:rsid w:val="00173E99"/>
    <w:rsid w:val="00174B5C"/>
    <w:rsid w:val="00180238"/>
    <w:rsid w:val="00186E32"/>
    <w:rsid w:val="00192AD3"/>
    <w:rsid w:val="001D2C59"/>
    <w:rsid w:val="00260C6F"/>
    <w:rsid w:val="00296815"/>
    <w:rsid w:val="002A391E"/>
    <w:rsid w:val="002B45A5"/>
    <w:rsid w:val="002E027F"/>
    <w:rsid w:val="00345344"/>
    <w:rsid w:val="00353524"/>
    <w:rsid w:val="003626CA"/>
    <w:rsid w:val="003D2F79"/>
    <w:rsid w:val="00472313"/>
    <w:rsid w:val="00475ED0"/>
    <w:rsid w:val="00493132"/>
    <w:rsid w:val="004A5F85"/>
    <w:rsid w:val="004D26BE"/>
    <w:rsid w:val="004D7411"/>
    <w:rsid w:val="004F010F"/>
    <w:rsid w:val="00514931"/>
    <w:rsid w:val="00522A77"/>
    <w:rsid w:val="00563096"/>
    <w:rsid w:val="00590E9A"/>
    <w:rsid w:val="005C09F1"/>
    <w:rsid w:val="005E4F60"/>
    <w:rsid w:val="005F066F"/>
    <w:rsid w:val="00605AA9"/>
    <w:rsid w:val="00662E03"/>
    <w:rsid w:val="006766DE"/>
    <w:rsid w:val="006811F0"/>
    <w:rsid w:val="006C7B71"/>
    <w:rsid w:val="006D30A2"/>
    <w:rsid w:val="006E1BC2"/>
    <w:rsid w:val="006F6CC8"/>
    <w:rsid w:val="007252C2"/>
    <w:rsid w:val="00776FC0"/>
    <w:rsid w:val="00791D8E"/>
    <w:rsid w:val="0079294D"/>
    <w:rsid w:val="00792D6E"/>
    <w:rsid w:val="007951EC"/>
    <w:rsid w:val="007D51BA"/>
    <w:rsid w:val="008044FF"/>
    <w:rsid w:val="00853B78"/>
    <w:rsid w:val="00887A3C"/>
    <w:rsid w:val="00890917"/>
    <w:rsid w:val="008B5CA6"/>
    <w:rsid w:val="00907787"/>
    <w:rsid w:val="00907D1A"/>
    <w:rsid w:val="00920731"/>
    <w:rsid w:val="0093286C"/>
    <w:rsid w:val="009B7B96"/>
    <w:rsid w:val="009C2CC5"/>
    <w:rsid w:val="009F0200"/>
    <w:rsid w:val="00A747AF"/>
    <w:rsid w:val="00AC325D"/>
    <w:rsid w:val="00B02248"/>
    <w:rsid w:val="00B03FB4"/>
    <w:rsid w:val="00B141A0"/>
    <w:rsid w:val="00B34245"/>
    <w:rsid w:val="00B369C0"/>
    <w:rsid w:val="00B508E0"/>
    <w:rsid w:val="00B861F1"/>
    <w:rsid w:val="00BC6A77"/>
    <w:rsid w:val="00BC7B21"/>
    <w:rsid w:val="00BF44B2"/>
    <w:rsid w:val="00C31220"/>
    <w:rsid w:val="00C72A6C"/>
    <w:rsid w:val="00C93E7A"/>
    <w:rsid w:val="00CF635B"/>
    <w:rsid w:val="00D06404"/>
    <w:rsid w:val="00D46B87"/>
    <w:rsid w:val="00DA1E10"/>
    <w:rsid w:val="00DD5028"/>
    <w:rsid w:val="00E41D6D"/>
    <w:rsid w:val="00E82944"/>
    <w:rsid w:val="00EF41C0"/>
    <w:rsid w:val="00EF7B1C"/>
    <w:rsid w:val="00F51917"/>
    <w:rsid w:val="00F56DF8"/>
    <w:rsid w:val="00F60C22"/>
    <w:rsid w:val="00F63B1C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E012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RE43718?an=1" TargetMode="External"/><Relationship Id="rId13" Type="http://schemas.openxmlformats.org/officeDocument/2006/relationships/hyperlink" Target="https://ips.ligazakon.net/document/RE43718?an=294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hyperlink" Target="https://ips.ligazakon.net/document/RE43718?an=120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estportal.gov.ua/wp-content/uploads/2024/12/HAKA3_MOH_180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stportal.gov.ua/wp-content/uploads/2025/01/nakaz-vid-14.01.2025-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skladnyky-nmt-2025/" TargetMode="External"/><Relationship Id="rId14" Type="http://schemas.openxmlformats.org/officeDocument/2006/relationships/hyperlink" Target="https://ips.ligazakon.net/document/RE43718?an=362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EFB1-FAD5-4E46-B4D0-2576EF4D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2025-03-06T12:36:00Z</cp:lastPrinted>
  <dcterms:created xsi:type="dcterms:W3CDTF">2024-05-10T09:30:00Z</dcterms:created>
  <dcterms:modified xsi:type="dcterms:W3CDTF">2025-03-06T14:02:00Z</dcterms:modified>
</cp:coreProperties>
</file>